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C85" w:rsidRPr="00C77238" w:rsidRDefault="00BA6C85" w:rsidP="007947E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pl-PL"/>
        </w:rPr>
      </w:pPr>
      <w:r w:rsidRPr="00C77238">
        <w:rPr>
          <w:rFonts w:ascii="Times New Roman" w:hAnsi="Times New Roman" w:cs="Times New Roman"/>
          <w:b/>
          <w:bCs/>
          <w:sz w:val="36"/>
          <w:szCs w:val="36"/>
          <w:u w:val="single"/>
          <w:lang w:val="pl-PL"/>
        </w:rPr>
        <w:t xml:space="preserve">Procedura </w:t>
      </w:r>
      <w:r w:rsidRPr="007947EE">
        <w:rPr>
          <w:rFonts w:ascii="Times New Roman" w:hAnsi="Times New Roman" w:cs="Times New Roman"/>
          <w:b/>
          <w:bCs/>
          <w:sz w:val="36"/>
          <w:szCs w:val="36"/>
          <w:u w:val="single"/>
          <w:lang w:val="pl-PL"/>
        </w:rPr>
        <w:t xml:space="preserve">i zasady </w:t>
      </w:r>
      <w:r w:rsidRPr="00C77238">
        <w:rPr>
          <w:rFonts w:ascii="Times New Roman" w:hAnsi="Times New Roman" w:cs="Times New Roman"/>
          <w:b/>
          <w:bCs/>
          <w:sz w:val="36"/>
          <w:szCs w:val="36"/>
          <w:u w:val="single"/>
          <w:lang w:val="pl-PL"/>
        </w:rPr>
        <w:t>recenzowania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Redakcja podejmuje wszelkie starania, by przeciwdziałać nieprawidłowościom i przejawom nierzetelności naukowej poprzez dużą dbałość o wysoki poziom procedur recenzyjnych i samych recenzji. </w:t>
      </w:r>
      <w:r>
        <w:rPr>
          <w:rFonts w:ascii="Times New Roman" w:hAnsi="Times New Roman" w:cs="Times New Roman"/>
          <w:sz w:val="24"/>
          <w:szCs w:val="24"/>
          <w:lang w:val="pl-PL"/>
        </w:rPr>
        <w:t>Ponadto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dba o zachowanie zasad poufności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proce</w:t>
      </w:r>
      <w:r>
        <w:rPr>
          <w:rFonts w:ascii="Times New Roman" w:hAnsi="Times New Roman" w:cs="Times New Roman"/>
          <w:sz w:val="24"/>
          <w:szCs w:val="24"/>
          <w:lang w:val="pl-PL"/>
        </w:rPr>
        <w:t>sie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pl-PL"/>
        </w:rPr>
        <w:t>cenzyjnym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7947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b/>
          <w:bCs/>
          <w:sz w:val="24"/>
          <w:szCs w:val="24"/>
          <w:lang w:val="pl-PL"/>
        </w:rPr>
        <w:t>Procedura recenzowania</w:t>
      </w:r>
    </w:p>
    <w:p w:rsidR="00BA6C85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3765"/>
        <w:gridCol w:w="2728"/>
        <w:gridCol w:w="1800"/>
      </w:tblGrid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rzekazanie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 przez autora 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artykułu do redakcji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Redakcja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: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Weryfikacja artykułu przez system „</w:t>
            </w:r>
            <w:proofErr w:type="spellStart"/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Antyplagiat</w:t>
            </w:r>
            <w:proofErr w:type="spellEnd"/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”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→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Artykuł zawiera cytowania bez wskazówki na źródła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Zwrot do autora z uwagami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Artykuł 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jest oryginalną autorską pracą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Redakcja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: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Weryfikacja artykułu 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według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kryteri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ów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podstawowych: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zgodność z tematem i celem </w:t>
            </w:r>
            <w:r w:rsidR="0097457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publikacji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załączenia oświadczeń autorskich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dotrzymanie wymo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g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ów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wydawniczych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→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Nie 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Zwrot do autora z uwagami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Przyjęcie do recenzowania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↙</w:t>
            </w: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Recenzent 1</w:t>
            </w: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Recenzent 2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↙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ws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pólna ocena</w:t>
            </w:r>
          </w:p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Weryfikacja artykułu 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na podstawie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ankiety recenzenta. </w:t>
            </w:r>
          </w:p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Decyzja: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treść nadaje się do publikacji w przedstawionej formie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treść nadaje się do publikacji po nieznacznej  korekcie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treść nadaje się do publikacji po wprowadzeniu znacznych zmian</w:t>
            </w:r>
          </w:p>
          <w:p w:rsidR="00BA6C85" w:rsidRPr="007B216E" w:rsidRDefault="00BA6C85" w:rsidP="007B216E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treść nie nadaje się do publikacji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Tak/Tak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Tak/Nie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Recenzent 3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↓ 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Tak/Nie/Tak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Tak/Nie/Nie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Poprawki autorskie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Odmowa 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 publikacji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Redakcja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Przegląd wykonania 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zaleceń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recenzentów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↙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Redaktorzy językowi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↓ 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Ocena pozytywna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Ocena negatywna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Poprawki autorskie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Redakcja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Przegląd wykonania 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zaleceń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↙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7B216E">
              <w:rPr>
                <w:rFonts w:ascii="Cambria Math" w:hAnsi="Cambria Math" w:cs="Cambria Math"/>
                <w:b/>
                <w:bCs/>
                <w:sz w:val="18"/>
                <w:szCs w:val="18"/>
                <w:lang w:val="pl-PL"/>
              </w:rPr>
              <w:t>↘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Nie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Rada Redakcyjna</w:t>
            </w:r>
          </w:p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Pr</w:t>
            </w: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</w:t>
            </w:r>
            <w:r w:rsidRPr="007B216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yjęcie do druku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Odmowa </w:t>
            </w: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 publikacji</w:t>
            </w: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↓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A6C85" w:rsidRPr="007B216E">
        <w:tc>
          <w:tcPr>
            <w:tcW w:w="1384" w:type="dxa"/>
          </w:tcPr>
          <w:p w:rsidR="00BA6C85" w:rsidRPr="007B216E" w:rsidRDefault="00BA6C85" w:rsidP="007B216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3765" w:type="dxa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</w:pPr>
            <w:r w:rsidRPr="007B216E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 xml:space="preserve">Publikacja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pl-PL"/>
              </w:rPr>
              <w:t>artykułu</w:t>
            </w: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</w:tcPr>
          <w:p w:rsidR="00BA6C85" w:rsidRPr="007B216E" w:rsidRDefault="00BA6C85" w:rsidP="007B2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</w:tbl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7947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F1610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Zasady</w:t>
      </w:r>
      <w:r w:rsidRPr="00EF161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b/>
          <w:bCs/>
          <w:sz w:val="24"/>
          <w:szCs w:val="24"/>
          <w:lang w:val="pl-PL"/>
        </w:rPr>
        <w:t>recenzowania</w:t>
      </w:r>
    </w:p>
    <w:p w:rsidR="00BA6C85" w:rsidRPr="00EF1610" w:rsidRDefault="00BA6C85" w:rsidP="007D7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Ka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uk-UA"/>
        </w:rPr>
        <w:t>ż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dy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artyku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ł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publikacji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4576">
        <w:rPr>
          <w:rFonts w:ascii="Times New Roman" w:hAnsi="Times New Roman" w:cs="Times New Roman"/>
          <w:sz w:val="24"/>
          <w:szCs w:val="24"/>
          <w:lang w:val="pl-PL"/>
        </w:rPr>
        <w:t>wydawnictwie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oceniany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ekspert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>ó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EF161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Redakcja dokonuje wstępnej oceny złożonych artykułów celem dokonania ich weryfikacji pod względem stylistycznym i technicznym, ale również merytorycznym, aby dokonać wyboru recenzentów. 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Przed przedstawieniem materiału recenzentom każdy artykuł poddawany jest badaniu w Internetowym Systemie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Antyplagiatowym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Redakcja dobiera recenzentów każdego </w:t>
      </w:r>
      <w:r w:rsidR="00974576">
        <w:rPr>
          <w:rFonts w:ascii="Times New Roman" w:hAnsi="Times New Roman" w:cs="Times New Roman"/>
          <w:sz w:val="24"/>
          <w:szCs w:val="24"/>
          <w:lang w:val="pl-PL"/>
        </w:rPr>
        <w:t>artykułu naukowego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>
        <w:rPr>
          <w:rFonts w:ascii="Times New Roman" w:hAnsi="Times New Roman" w:cs="Times New Roman"/>
          <w:sz w:val="24"/>
          <w:szCs w:val="24"/>
          <w:lang w:val="pl-PL"/>
        </w:rPr>
        <w:t>edług kryterium kompetencji, któremu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w jak najwięks</w:t>
      </w:r>
      <w:r>
        <w:rPr>
          <w:rFonts w:ascii="Times New Roman" w:hAnsi="Times New Roman" w:cs="Times New Roman"/>
          <w:sz w:val="24"/>
          <w:szCs w:val="24"/>
          <w:lang w:val="pl-PL"/>
        </w:rPr>
        <w:t>zym stopniu odpowiadają tematy poruszane</w:t>
      </w:r>
      <w:r w:rsidR="00974576">
        <w:rPr>
          <w:rFonts w:ascii="Times New Roman" w:hAnsi="Times New Roman" w:cs="Times New Roman"/>
          <w:sz w:val="24"/>
          <w:szCs w:val="24"/>
          <w:lang w:val="pl-PL"/>
        </w:rPr>
        <w:t xml:space="preserve"> w pracy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. Za wyznacznik kompetencji służy nie tylko wiedza, poświadczona znaczącym dorobkiem naukowym, ale również reputacja rzetelnego recenzenta. Redakcja wybiera recenzenta, który posiada tytuł profesora, doktora habilitowanego lub doktora i jest uznawany za specjalistę w zakresie poruszanej tematyki oraz posiada znaczący dorobek naukowy w danej dziedzinie. </w:t>
      </w:r>
    </w:p>
    <w:p w:rsidR="00BA6C85" w:rsidRPr="007947EE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>Do oceny każdej publikacji powołuje się co najmniej dwóch niezależnych recenzentów spoza Uczelni.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>Autorzy i recenzenci nie znają swoich tożsamości. Dane recen</w:t>
      </w:r>
      <w:r w:rsidR="00974576">
        <w:rPr>
          <w:rFonts w:ascii="Times New Roman" w:hAnsi="Times New Roman" w:cs="Times New Roman"/>
          <w:sz w:val="24"/>
          <w:szCs w:val="24"/>
          <w:lang w:val="pl-PL"/>
        </w:rPr>
        <w:t>zentów poszczególnych artykułów</w:t>
      </w: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nie jest podawana do publicznej wiadomości w trakcie procesu recenzowania (tzw.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double-blind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review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process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Redakcja przekazuje recenzentom teksty artykułów wraz z formularzem recenzji i określa termin, w jakim recenzent ma przesłać wypełnione recenzje. Recenzent wypełnia formularz recenzencki. 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>Recenzja publikowanego tekstu złożona przez recenzenta do Redakcji posiada formę pisemną, zawiera jednoznaczną informację o dopuszczeniu artykułu do publikacji lub odrzuceniu.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Redakcja przekazuje recenzję do wiadomości autora w celu ustosunkowania się do poczynionych uwag i wprowadzenia ewentualnych zmiany w tekście artykułu. </w:t>
      </w:r>
    </w:p>
    <w:p w:rsidR="00BA6C85" w:rsidRPr="00EF1610" w:rsidRDefault="00BA6C85" w:rsidP="007D7804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Po akceptacji artykułu do druku autor ceduje autorskie prawa majątkowe na rzecz WSGE poprzez złożenie </w:t>
      </w:r>
      <w:r w:rsidR="00974576">
        <w:rPr>
          <w:rFonts w:ascii="Times New Roman" w:hAnsi="Times New Roman" w:cs="Times New Roman"/>
          <w:sz w:val="24"/>
          <w:szCs w:val="24"/>
          <w:lang w:val="pl-PL"/>
        </w:rPr>
        <w:t>umowy.</w:t>
      </w:r>
    </w:p>
    <w:p w:rsidR="00F50656" w:rsidRDefault="00BA6C85" w:rsidP="00D45B06">
      <w:pPr>
        <w:pStyle w:val="Akapitzlist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Lista recenzentów publikowana jest </w:t>
      </w:r>
      <w:bookmarkStart w:id="0" w:name="_GoBack"/>
      <w:bookmarkEnd w:id="0"/>
      <w:r w:rsidR="00974576">
        <w:rPr>
          <w:rFonts w:ascii="Times New Roman" w:hAnsi="Times New Roman" w:cs="Times New Roman"/>
          <w:sz w:val="24"/>
          <w:szCs w:val="24"/>
          <w:lang w:val="pl-PL"/>
        </w:rPr>
        <w:t>w stopce redakcyjnej monografii</w:t>
      </w:r>
    </w:p>
    <w:p w:rsidR="00BA6C85" w:rsidRPr="00EF1610" w:rsidRDefault="00BA6C85" w:rsidP="00F50656">
      <w:pPr>
        <w:pStyle w:val="Akapitzlist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Wszelkie działania prowadzone przez Redakcję mają zapewnić rzetelność i zgodność z zasadami etyki panującymi w nauce. Wszystkie uchybienia będą dokumentowane oraz zgłaszane instytucjom współpracującym z autorem, który się ich dopuścił. 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W szczególności Redakcja podejmuje starania w celu przeciwdziałania zjawiskom określanym jako: 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a)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Ghostwriting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– który stanowi przejaw nierzetelności naukowej. Mamy z nim do czynienia, gdy udział autora jest istotny, a pomimo to nie jest uwidoczniony jako autor lub współautor publikacji czy też wymieniony w podziękowaniach zamieszczonych w publikacji. 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b)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Guest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autorship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(zw. także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honorary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EF1610">
        <w:rPr>
          <w:rFonts w:ascii="Times New Roman" w:hAnsi="Times New Roman" w:cs="Times New Roman"/>
          <w:sz w:val="24"/>
          <w:szCs w:val="24"/>
          <w:lang w:val="pl-PL"/>
        </w:rPr>
        <w:t>autorship</w:t>
      </w:r>
      <w:proofErr w:type="spellEnd"/>
      <w:r w:rsidRPr="00EF1610">
        <w:rPr>
          <w:rFonts w:ascii="Times New Roman" w:hAnsi="Times New Roman" w:cs="Times New Roman"/>
          <w:sz w:val="24"/>
          <w:szCs w:val="24"/>
          <w:lang w:val="pl-PL"/>
        </w:rPr>
        <w:t>) - który stanowi przejaw nierzetelności naukowej, z którym mamy do czynienia, gdy udział autora jest znikomy lub wcale nie miał miejsca, a pomimo to jest uwidoczniony jako autor lub współautor publikacji.</w:t>
      </w: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6C85" w:rsidRPr="00EF1610" w:rsidRDefault="00BA6C85" w:rsidP="002E05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C85" w:rsidRPr="00EF1610" w:rsidRDefault="00BA6C85" w:rsidP="00007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sectPr w:rsidR="00BA6C85" w:rsidRPr="00EF1610" w:rsidSect="00C7723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761A"/>
    <w:multiLevelType w:val="hybridMultilevel"/>
    <w:tmpl w:val="4E707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52E17"/>
    <w:multiLevelType w:val="hybridMultilevel"/>
    <w:tmpl w:val="EC12F6DC"/>
    <w:lvl w:ilvl="0" w:tplc="F410909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BC2087"/>
    <w:multiLevelType w:val="hybridMultilevel"/>
    <w:tmpl w:val="C180DF92"/>
    <w:lvl w:ilvl="0" w:tplc="C5804198">
      <w:start w:val="1"/>
      <w:numFmt w:val="decimal"/>
      <w:lvlText w:val="%1)"/>
      <w:lvlJc w:val="left"/>
      <w:pPr>
        <w:ind w:left="3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98" w:hanging="360"/>
      </w:pPr>
    </w:lvl>
    <w:lvl w:ilvl="2" w:tplc="0419001B">
      <w:start w:val="1"/>
      <w:numFmt w:val="lowerRoman"/>
      <w:lvlText w:val="%3."/>
      <w:lvlJc w:val="right"/>
      <w:pPr>
        <w:ind w:left="1818" w:hanging="180"/>
      </w:pPr>
    </w:lvl>
    <w:lvl w:ilvl="3" w:tplc="0419000F">
      <w:start w:val="1"/>
      <w:numFmt w:val="decimal"/>
      <w:lvlText w:val="%4."/>
      <w:lvlJc w:val="left"/>
      <w:pPr>
        <w:ind w:left="2538" w:hanging="360"/>
      </w:pPr>
    </w:lvl>
    <w:lvl w:ilvl="4" w:tplc="04190019">
      <w:start w:val="1"/>
      <w:numFmt w:val="lowerLetter"/>
      <w:lvlText w:val="%5."/>
      <w:lvlJc w:val="left"/>
      <w:pPr>
        <w:ind w:left="3258" w:hanging="360"/>
      </w:pPr>
    </w:lvl>
    <w:lvl w:ilvl="5" w:tplc="0419001B">
      <w:start w:val="1"/>
      <w:numFmt w:val="lowerRoman"/>
      <w:lvlText w:val="%6."/>
      <w:lvlJc w:val="right"/>
      <w:pPr>
        <w:ind w:left="3978" w:hanging="180"/>
      </w:pPr>
    </w:lvl>
    <w:lvl w:ilvl="6" w:tplc="0419000F">
      <w:start w:val="1"/>
      <w:numFmt w:val="decimal"/>
      <w:lvlText w:val="%7."/>
      <w:lvlJc w:val="left"/>
      <w:pPr>
        <w:ind w:left="4698" w:hanging="360"/>
      </w:pPr>
    </w:lvl>
    <w:lvl w:ilvl="7" w:tplc="04190019">
      <w:start w:val="1"/>
      <w:numFmt w:val="lowerLetter"/>
      <w:lvlText w:val="%8."/>
      <w:lvlJc w:val="left"/>
      <w:pPr>
        <w:ind w:left="5418" w:hanging="360"/>
      </w:pPr>
    </w:lvl>
    <w:lvl w:ilvl="8" w:tplc="0419001B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1CD96E5B"/>
    <w:multiLevelType w:val="hybridMultilevel"/>
    <w:tmpl w:val="C542039C"/>
    <w:lvl w:ilvl="0" w:tplc="B524C336">
      <w:start w:val="1"/>
      <w:numFmt w:val="decimal"/>
      <w:lvlText w:val="%1)"/>
      <w:lvlJc w:val="left"/>
      <w:pPr>
        <w:ind w:left="378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70ABC"/>
    <w:multiLevelType w:val="hybridMultilevel"/>
    <w:tmpl w:val="D9E4B938"/>
    <w:lvl w:ilvl="0" w:tplc="F4109094">
      <w:start w:val="1"/>
      <w:numFmt w:val="decimal"/>
      <w:lvlText w:val="%1."/>
      <w:lvlJc w:val="left"/>
      <w:pPr>
        <w:ind w:left="1658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9" w:hanging="360"/>
      </w:pPr>
    </w:lvl>
    <w:lvl w:ilvl="2" w:tplc="0419001B">
      <w:start w:val="1"/>
      <w:numFmt w:val="lowerRoman"/>
      <w:lvlText w:val="%3."/>
      <w:lvlJc w:val="right"/>
      <w:pPr>
        <w:ind w:left="2149" w:hanging="180"/>
      </w:pPr>
    </w:lvl>
    <w:lvl w:ilvl="3" w:tplc="0419000F">
      <w:start w:val="1"/>
      <w:numFmt w:val="decimal"/>
      <w:lvlText w:val="%4."/>
      <w:lvlJc w:val="left"/>
      <w:pPr>
        <w:ind w:left="2869" w:hanging="360"/>
      </w:pPr>
    </w:lvl>
    <w:lvl w:ilvl="4" w:tplc="04190019">
      <w:start w:val="1"/>
      <w:numFmt w:val="lowerLetter"/>
      <w:lvlText w:val="%5."/>
      <w:lvlJc w:val="left"/>
      <w:pPr>
        <w:ind w:left="3589" w:hanging="360"/>
      </w:pPr>
    </w:lvl>
    <w:lvl w:ilvl="5" w:tplc="0419001B">
      <w:start w:val="1"/>
      <w:numFmt w:val="lowerRoman"/>
      <w:lvlText w:val="%6."/>
      <w:lvlJc w:val="right"/>
      <w:pPr>
        <w:ind w:left="4309" w:hanging="180"/>
      </w:pPr>
    </w:lvl>
    <w:lvl w:ilvl="6" w:tplc="0419000F">
      <w:start w:val="1"/>
      <w:numFmt w:val="decimal"/>
      <w:lvlText w:val="%7."/>
      <w:lvlJc w:val="left"/>
      <w:pPr>
        <w:ind w:left="5029" w:hanging="360"/>
      </w:pPr>
    </w:lvl>
    <w:lvl w:ilvl="7" w:tplc="04190019">
      <w:start w:val="1"/>
      <w:numFmt w:val="lowerLetter"/>
      <w:lvlText w:val="%8."/>
      <w:lvlJc w:val="left"/>
      <w:pPr>
        <w:ind w:left="5749" w:hanging="360"/>
      </w:pPr>
    </w:lvl>
    <w:lvl w:ilvl="8" w:tplc="0419001B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261C2DB9"/>
    <w:multiLevelType w:val="hybridMultilevel"/>
    <w:tmpl w:val="96861B3E"/>
    <w:lvl w:ilvl="0" w:tplc="D8E4389E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E176D56"/>
    <w:multiLevelType w:val="hybridMultilevel"/>
    <w:tmpl w:val="79F41E14"/>
    <w:lvl w:ilvl="0" w:tplc="F410909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254C7"/>
    <w:multiLevelType w:val="hybridMultilevel"/>
    <w:tmpl w:val="03AAF590"/>
    <w:lvl w:ilvl="0" w:tplc="36A25FD6">
      <w:start w:val="1"/>
      <w:numFmt w:val="decimal"/>
      <w:lvlText w:val="%1."/>
      <w:lvlJc w:val="left"/>
      <w:pPr>
        <w:ind w:left="1069" w:hanging="360"/>
      </w:pPr>
      <w:rPr>
        <w:rFonts w:ascii="Calibri" w:hAnsi="Calibri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C33"/>
    <w:rsid w:val="00007493"/>
    <w:rsid w:val="00224C33"/>
    <w:rsid w:val="00294996"/>
    <w:rsid w:val="002E05D6"/>
    <w:rsid w:val="003A4850"/>
    <w:rsid w:val="00480F3B"/>
    <w:rsid w:val="005D131E"/>
    <w:rsid w:val="00695662"/>
    <w:rsid w:val="007947EE"/>
    <w:rsid w:val="007B216E"/>
    <w:rsid w:val="007C450E"/>
    <w:rsid w:val="007D7804"/>
    <w:rsid w:val="00872CBD"/>
    <w:rsid w:val="00974576"/>
    <w:rsid w:val="00A13288"/>
    <w:rsid w:val="00AC6286"/>
    <w:rsid w:val="00BA6C85"/>
    <w:rsid w:val="00C77238"/>
    <w:rsid w:val="00D45B06"/>
    <w:rsid w:val="00DC45A5"/>
    <w:rsid w:val="00E5134C"/>
    <w:rsid w:val="00EC1386"/>
    <w:rsid w:val="00EC502A"/>
    <w:rsid w:val="00EF1610"/>
    <w:rsid w:val="00F50656"/>
    <w:rsid w:val="00FA3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850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07493"/>
    <w:pPr>
      <w:ind w:left="720"/>
    </w:pPr>
  </w:style>
  <w:style w:type="table" w:styleId="Tabela-Siatka">
    <w:name w:val="Table Grid"/>
    <w:basedOn w:val="Standardowy"/>
    <w:uiPriority w:val="99"/>
    <w:rsid w:val="00C7723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i zasady recenzowania</vt:lpstr>
    </vt:vector>
  </TitlesOfParts>
  <Company>HP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i zasady recenzowania</dc:title>
  <dc:creator>Asus</dc:creator>
  <cp:lastModifiedBy>Ula</cp:lastModifiedBy>
  <cp:revision>2</cp:revision>
  <dcterms:created xsi:type="dcterms:W3CDTF">2021-02-04T10:40:00Z</dcterms:created>
  <dcterms:modified xsi:type="dcterms:W3CDTF">2021-02-04T10:40:00Z</dcterms:modified>
</cp:coreProperties>
</file>